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E15" w:rsidRPr="00E454C6" w:rsidRDefault="001D2E15" w:rsidP="00BD7BFC">
      <w:pPr>
        <w:shd w:val="clear" w:color="auto" w:fill="FFFFFF"/>
        <w:spacing w:after="0" w:line="288" w:lineRule="auto"/>
        <w:jc w:val="center"/>
        <w:rPr>
          <w:rFonts w:ascii="Times New Roman" w:eastAsia="Times New Roman" w:hAnsi="Times New Roman" w:cs="Times New Roman"/>
          <w:bCs/>
          <w:i/>
          <w:color w:val="000000"/>
          <w:sz w:val="28"/>
          <w:szCs w:val="28"/>
          <w:lang w:val="vi-VN"/>
        </w:rPr>
      </w:pPr>
      <w:bookmarkStart w:id="0" w:name="chuong_pl_1_2"/>
      <w:r w:rsidRPr="00E454C6">
        <w:rPr>
          <w:rFonts w:ascii="Times New Roman" w:eastAsia="Times New Roman" w:hAnsi="Times New Roman" w:cs="Times New Roman"/>
          <w:bCs/>
          <w:i/>
          <w:color w:val="000000"/>
          <w:sz w:val="28"/>
          <w:szCs w:val="28"/>
          <w:lang w:val="vi-VN"/>
        </w:rPr>
        <w:t xml:space="preserve">Mẫu số 01/ĐGTĐ-BC. Bản đánh giá thủ tục hành chính của dự án, dự thảo </w:t>
      </w:r>
      <w:r w:rsidR="00BA5EC9">
        <w:rPr>
          <w:rFonts w:ascii="Times New Roman" w:eastAsia="Times New Roman" w:hAnsi="Times New Roman" w:cs="Times New Roman"/>
          <w:bCs/>
          <w:i/>
          <w:color w:val="000000"/>
          <w:sz w:val="28"/>
          <w:szCs w:val="28"/>
        </w:rPr>
        <w:t xml:space="preserve">   </w:t>
      </w:r>
      <w:bookmarkStart w:id="1" w:name="_GoBack"/>
      <w:bookmarkEnd w:id="1"/>
      <w:r w:rsidRPr="00E454C6">
        <w:rPr>
          <w:rFonts w:ascii="Times New Roman" w:eastAsia="Times New Roman" w:hAnsi="Times New Roman" w:cs="Times New Roman"/>
          <w:bCs/>
          <w:i/>
          <w:color w:val="000000"/>
          <w:sz w:val="28"/>
          <w:szCs w:val="28"/>
          <w:lang w:val="vi-VN"/>
        </w:rPr>
        <w:t>văn</w:t>
      </w:r>
      <w:r w:rsidR="00BA5EC9">
        <w:rPr>
          <w:rFonts w:ascii="Times New Roman" w:eastAsia="Times New Roman" w:hAnsi="Times New Roman" w:cs="Times New Roman"/>
          <w:bCs/>
          <w:i/>
          <w:color w:val="000000"/>
          <w:sz w:val="28"/>
          <w:szCs w:val="28"/>
        </w:rPr>
        <w:t xml:space="preserve"> </w:t>
      </w:r>
      <w:r w:rsidRPr="00E454C6">
        <w:rPr>
          <w:rFonts w:ascii="Times New Roman" w:eastAsia="Times New Roman" w:hAnsi="Times New Roman" w:cs="Times New Roman"/>
          <w:bCs/>
          <w:i/>
          <w:color w:val="000000"/>
          <w:sz w:val="28"/>
          <w:szCs w:val="28"/>
          <w:lang w:val="vi-VN"/>
        </w:rPr>
        <w:t>bản</w:t>
      </w:r>
      <w:bookmarkEnd w:id="0"/>
    </w:p>
    <w:p w:rsidR="00364780" w:rsidRPr="001D2E15" w:rsidRDefault="00364780" w:rsidP="00BD7BFC">
      <w:pPr>
        <w:shd w:val="clear" w:color="auto" w:fill="FFFFFF"/>
        <w:spacing w:after="0" w:line="288" w:lineRule="auto"/>
        <w:jc w:val="center"/>
        <w:rPr>
          <w:rFonts w:ascii="Times New Roman" w:eastAsia="Times New Roman" w:hAnsi="Times New Roman" w:cs="Times New Roman"/>
          <w:color w:val="000000"/>
          <w:sz w:val="28"/>
          <w:szCs w:val="28"/>
        </w:rPr>
      </w:pPr>
    </w:p>
    <w:tbl>
      <w:tblPr>
        <w:tblW w:w="9067" w:type="dxa"/>
        <w:tblCellSpacing w:w="0" w:type="dxa"/>
        <w:tblCellMar>
          <w:left w:w="0" w:type="dxa"/>
          <w:right w:w="0" w:type="dxa"/>
        </w:tblCellMar>
        <w:tblLook w:val="04A0" w:firstRow="1" w:lastRow="0" w:firstColumn="1" w:lastColumn="0" w:noHBand="0" w:noVBand="1"/>
      </w:tblPr>
      <w:tblGrid>
        <w:gridCol w:w="4111"/>
        <w:gridCol w:w="425"/>
        <w:gridCol w:w="4531"/>
      </w:tblGrid>
      <w:tr w:rsidR="001D2E15" w:rsidRPr="001D2E15" w:rsidTr="002A0EF1">
        <w:trPr>
          <w:trHeight w:val="945"/>
          <w:tblCellSpacing w:w="0" w:type="dxa"/>
        </w:trPr>
        <w:tc>
          <w:tcPr>
            <w:tcW w:w="4111" w:type="dxa"/>
            <w:tcMar>
              <w:top w:w="0" w:type="dxa"/>
              <w:left w:w="108" w:type="dxa"/>
              <w:bottom w:w="0" w:type="dxa"/>
              <w:right w:w="108" w:type="dxa"/>
            </w:tcMar>
            <w:hideMark/>
          </w:tcPr>
          <w:p w:rsidR="001D2E15" w:rsidRPr="00E454C6" w:rsidRDefault="001D2E15" w:rsidP="00BD7BFC">
            <w:pPr>
              <w:spacing w:after="0" w:line="288" w:lineRule="auto"/>
              <w:jc w:val="center"/>
              <w:rPr>
                <w:rFonts w:ascii="Times New Roman" w:eastAsia="Times New Roman" w:hAnsi="Times New Roman" w:cs="Times New Roman"/>
                <w:b/>
                <w:bCs/>
                <w:sz w:val="28"/>
                <w:szCs w:val="28"/>
              </w:rPr>
            </w:pPr>
            <w:r w:rsidRPr="00E454C6">
              <w:rPr>
                <w:rFonts w:ascii="Times New Roman" w:eastAsia="Times New Roman" w:hAnsi="Times New Roman" w:cs="Times New Roman"/>
                <w:b/>
                <w:bCs/>
                <w:sz w:val="28"/>
                <w:szCs w:val="28"/>
              </w:rPr>
              <w:t>BỘ GIAO THÔNG VẬN TẢI</w:t>
            </w:r>
          </w:p>
          <w:p w:rsidR="001D2E15" w:rsidRPr="001D2E15" w:rsidRDefault="002A0EF1" w:rsidP="00BD7BFC">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lang w:val="vi-VN" w:eastAsia="vi-VN"/>
              </w:rPr>
              <mc:AlternateContent>
                <mc:Choice Requires="wps">
                  <w:drawing>
                    <wp:anchor distT="4294967295" distB="4294967295" distL="114300" distR="114300" simplePos="0" relativeHeight="251658240" behindDoc="0" locked="0" layoutInCell="1" allowOverlap="1" wp14:anchorId="2D234EA0" wp14:editId="3E8C1EF3">
                      <wp:simplePos x="0" y="0"/>
                      <wp:positionH relativeFrom="column">
                        <wp:posOffset>534670</wp:posOffset>
                      </wp:positionH>
                      <wp:positionV relativeFrom="paragraph">
                        <wp:posOffset>60960</wp:posOffset>
                      </wp:positionV>
                      <wp:extent cx="14630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B4906"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pt,4.8pt" to="15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"/>
                  </w:pict>
                </mc:Fallback>
              </mc:AlternateContent>
            </w:r>
          </w:p>
        </w:tc>
        <w:tc>
          <w:tcPr>
            <w:tcW w:w="425" w:type="dxa"/>
            <w:tcMar>
              <w:top w:w="0" w:type="dxa"/>
              <w:left w:w="108" w:type="dxa"/>
              <w:bottom w:w="0" w:type="dxa"/>
              <w:right w:w="108" w:type="dxa"/>
            </w:tcMar>
            <w:hideMark/>
          </w:tcPr>
          <w:p w:rsidR="001D2E15" w:rsidRPr="001D2E15" w:rsidRDefault="001D2E15" w:rsidP="00BD7BFC">
            <w:pPr>
              <w:spacing w:after="0" w:line="288" w:lineRule="auto"/>
              <w:ind w:left="775" w:firstLine="284"/>
              <w:jc w:val="both"/>
              <w:rPr>
                <w:rFonts w:ascii="Times New Roman" w:eastAsia="Times New Roman" w:hAnsi="Times New Roman" w:cs="Times New Roman"/>
                <w:sz w:val="28"/>
                <w:szCs w:val="28"/>
              </w:rPr>
            </w:pPr>
          </w:p>
        </w:tc>
        <w:tc>
          <w:tcPr>
            <w:tcW w:w="4531" w:type="dxa"/>
            <w:tcMar>
              <w:top w:w="0" w:type="dxa"/>
              <w:left w:w="108" w:type="dxa"/>
              <w:bottom w:w="0" w:type="dxa"/>
              <w:right w:w="108" w:type="dxa"/>
            </w:tcMar>
            <w:hideMark/>
          </w:tcPr>
          <w:p w:rsidR="001D2E15" w:rsidRPr="001D2E15" w:rsidRDefault="001D2E15" w:rsidP="000C198C">
            <w:pPr>
              <w:spacing w:after="0" w:line="288" w:lineRule="auto"/>
              <w:jc w:val="right"/>
              <w:rPr>
                <w:rFonts w:ascii="Times New Roman" w:eastAsia="Times New Roman" w:hAnsi="Times New Roman" w:cs="Times New Roman"/>
                <w:sz w:val="28"/>
                <w:szCs w:val="28"/>
              </w:rPr>
            </w:pPr>
            <w:r w:rsidRPr="001D2E15">
              <w:rPr>
                <w:rFonts w:ascii="Times New Roman" w:eastAsia="Times New Roman" w:hAnsi="Times New Roman" w:cs="Times New Roman"/>
                <w:b/>
                <w:bCs/>
                <w:i/>
                <w:iCs/>
                <w:sz w:val="28"/>
                <w:szCs w:val="28"/>
                <w:lang w:val="vi-VN"/>
              </w:rPr>
              <w:t>Mẫu số 01/ĐGTĐ-BC</w:t>
            </w:r>
            <w:r w:rsidRPr="001D2E15">
              <w:rPr>
                <w:rFonts w:ascii="Times New Roman" w:eastAsia="Times New Roman" w:hAnsi="Times New Roman" w:cs="Times New Roman"/>
                <w:sz w:val="28"/>
                <w:szCs w:val="28"/>
              </w:rPr>
              <w:br/>
            </w:r>
          </w:p>
        </w:tc>
      </w:tr>
    </w:tbl>
    <w:p w:rsidR="00B603D6" w:rsidRDefault="001D2E15" w:rsidP="00364780">
      <w:pPr>
        <w:shd w:val="clear" w:color="auto" w:fill="FFFFFF"/>
        <w:spacing w:after="0" w:line="288" w:lineRule="auto"/>
        <w:jc w:val="center"/>
        <w:rPr>
          <w:rFonts w:ascii="Times New Roman" w:eastAsia="Times New Roman" w:hAnsi="Times New Roman" w:cs="Times New Roman"/>
          <w:b/>
          <w:bCs/>
          <w:color w:val="000000"/>
          <w:sz w:val="28"/>
          <w:szCs w:val="28"/>
          <w:lang w:val="vi-VN"/>
        </w:rPr>
      </w:pPr>
      <w:r w:rsidRPr="001D2E15">
        <w:rPr>
          <w:rFonts w:ascii="Times New Roman" w:eastAsia="Times New Roman" w:hAnsi="Times New Roman" w:cs="Times New Roman"/>
          <w:b/>
          <w:bCs/>
          <w:color w:val="000000"/>
          <w:sz w:val="28"/>
          <w:szCs w:val="28"/>
          <w:lang w:val="vi-VN"/>
        </w:rPr>
        <w:t xml:space="preserve">BẢN ĐÁNH GIÁ THỦ TỤC HÀNH CHÍNH </w:t>
      </w:r>
    </w:p>
    <w:p w:rsidR="001D2E15" w:rsidRPr="001D2E15" w:rsidRDefault="001D2E15" w:rsidP="00364780">
      <w:pPr>
        <w:shd w:val="clear" w:color="auto" w:fill="FFFFFF"/>
        <w:spacing w:after="0" w:line="288" w:lineRule="auto"/>
        <w:jc w:val="center"/>
        <w:rPr>
          <w:rFonts w:ascii="Times New Roman" w:eastAsia="Times New Roman" w:hAnsi="Times New Roman" w:cs="Times New Roman"/>
          <w:b/>
          <w:bCs/>
          <w:color w:val="000000"/>
          <w:sz w:val="28"/>
          <w:szCs w:val="28"/>
          <w:lang w:val="vi-VN"/>
        </w:rPr>
      </w:pPr>
      <w:r w:rsidRPr="001D2E15">
        <w:rPr>
          <w:rFonts w:ascii="Times New Roman" w:eastAsia="Times New Roman" w:hAnsi="Times New Roman" w:cs="Times New Roman"/>
          <w:b/>
          <w:bCs/>
          <w:color w:val="000000"/>
          <w:sz w:val="28"/>
          <w:szCs w:val="28"/>
          <w:lang w:val="vi-VN"/>
        </w:rPr>
        <w:t>CỦA DỰ ÁN, DỰ THẢO VĂN BẢN</w:t>
      </w:r>
    </w:p>
    <w:p w:rsidR="00B603D6" w:rsidRDefault="00B603D6" w:rsidP="00364780">
      <w:pPr>
        <w:shd w:val="clear" w:color="auto" w:fill="FFFFFF"/>
        <w:spacing w:after="0" w:line="288" w:lineRule="auto"/>
        <w:ind w:firstLine="720"/>
        <w:jc w:val="both"/>
        <w:rPr>
          <w:rFonts w:ascii="Times New Roman" w:eastAsia="Times New Roman" w:hAnsi="Times New Roman" w:cs="Times New Roman"/>
          <w:b/>
          <w:bCs/>
          <w:color w:val="000000"/>
          <w:sz w:val="28"/>
          <w:szCs w:val="28"/>
          <w:lang w:val="vi-VN"/>
        </w:rPr>
      </w:pPr>
    </w:p>
    <w:p w:rsidR="001D2E15" w:rsidRPr="001D2E15" w:rsidRDefault="001D2E15" w:rsidP="00364780">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2E15">
        <w:rPr>
          <w:rFonts w:ascii="Times New Roman" w:eastAsia="Times New Roman" w:hAnsi="Times New Roman" w:cs="Times New Roman"/>
          <w:b/>
          <w:bCs/>
          <w:color w:val="000000"/>
          <w:sz w:val="28"/>
          <w:szCs w:val="28"/>
          <w:lang w:val="vi-VN"/>
        </w:rPr>
        <w:t>I. Xác định vấn đề tổng quan</w:t>
      </w:r>
    </w:p>
    <w:p w:rsidR="00A12031" w:rsidRPr="00BD7BFC" w:rsidRDefault="00A12031" w:rsidP="00364780">
      <w:pPr>
        <w:pStyle w:val="TableParagraph"/>
        <w:spacing w:line="288" w:lineRule="auto"/>
        <w:ind w:left="0" w:firstLine="720"/>
        <w:jc w:val="both"/>
        <w:rPr>
          <w:bCs/>
          <w:spacing w:val="-2"/>
          <w:sz w:val="28"/>
          <w:szCs w:val="28"/>
          <w:lang w:val="pl-PL"/>
        </w:rPr>
      </w:pPr>
      <w:r w:rsidRPr="00BD7BFC">
        <w:rPr>
          <w:sz w:val="28"/>
          <w:szCs w:val="28"/>
        </w:rPr>
        <w:t>Ngày 30/8/2022, Thủ tướng Chính phủ ban hành Quyết định số 1015/QĐ-TTg về việc</w:t>
      </w:r>
      <w:r w:rsidRPr="00BD7BFC">
        <w:rPr>
          <w:bCs/>
          <w:spacing w:val="-2"/>
          <w:sz w:val="28"/>
          <w:szCs w:val="28"/>
          <w:lang w:val="pl-PL"/>
        </w:rPr>
        <w:t xml:space="preserve"> phê duyệt Phương án </w:t>
      </w:r>
      <w:r w:rsidRPr="00BD7BFC">
        <w:rPr>
          <w:sz w:val="28"/>
          <w:szCs w:val="28"/>
        </w:rPr>
        <w:t>phân cấp trong giải quyết thủ tục hành chính thuộc phạm vi của các Bộ, cơ quan ngang bộ</w:t>
      </w:r>
      <w:r w:rsidRPr="00BD7BFC">
        <w:rPr>
          <w:bCs/>
          <w:spacing w:val="-2"/>
          <w:sz w:val="28"/>
          <w:szCs w:val="28"/>
          <w:lang w:val="pl-PL"/>
        </w:rPr>
        <w:t xml:space="preserve">. Ngày 30/12/2022, Bộ trưởng Bộ Giao thông vận tải đã ban hành Quyết định số 1814/QĐ-BGTVT ban hành </w:t>
      </w:r>
      <w:r w:rsidRPr="00BD7BFC">
        <w:rPr>
          <w:sz w:val="28"/>
          <w:szCs w:val="28"/>
        </w:rPr>
        <w:t>Chương trình xây dựng văn bản quy phạm pháp luật năm 2023 của Bộ Giao thông vận tải trong đó có nhiệm vụ xây dựng</w:t>
      </w:r>
      <w:r w:rsidRPr="00BD7BFC">
        <w:rPr>
          <w:sz w:val="28"/>
          <w:szCs w:val="28"/>
          <w:lang w:val="pt-BR"/>
        </w:rPr>
        <w:t xml:space="preserve"> Nghị định sửa đổi, bổ sung một số điều các Nghị định quy định liên quan đến phân cấp giải quyết thủ tục hành chính trong lĩnh vực hàng hải </w:t>
      </w:r>
      <w:r w:rsidRPr="00BD7BFC">
        <w:rPr>
          <w:i/>
          <w:sz w:val="28"/>
          <w:szCs w:val="28"/>
          <w:lang w:val="pt-BR"/>
        </w:rPr>
        <w:t>(</w:t>
      </w:r>
      <w:r w:rsidRPr="00BD7BFC">
        <w:rPr>
          <w:i/>
          <w:sz w:val="28"/>
          <w:szCs w:val="28"/>
        </w:rPr>
        <w:t xml:space="preserve">sửa đổi, bổ sung Nghị định số 58/2017/NĐ-CP ngày 10/5/2017, Nghị định số 29/2017/NĐ-CP ngày 20/5/2017, Nghị định số 38/2017/NĐ-CP ngày 04/4/2017, Nghị định số 82/2019/NĐ-CP ngày 12/11/2019) </w:t>
      </w:r>
      <w:r w:rsidRPr="00BD7BFC">
        <w:rPr>
          <w:sz w:val="28"/>
          <w:szCs w:val="28"/>
        </w:rPr>
        <w:t xml:space="preserve">để </w:t>
      </w:r>
      <w:r w:rsidRPr="00BD7BFC">
        <w:rPr>
          <w:bCs/>
          <w:spacing w:val="-2"/>
          <w:sz w:val="28"/>
          <w:szCs w:val="28"/>
          <w:lang w:val="pl-PL"/>
        </w:rPr>
        <w:t xml:space="preserve">triển khai </w:t>
      </w:r>
      <w:r w:rsidRPr="00BD7BFC">
        <w:rPr>
          <w:sz w:val="28"/>
          <w:szCs w:val="28"/>
        </w:rPr>
        <w:t>phương án phân cấp trong giải quyết thủ tục hành chính thuộc phạm vi của các Bộ, cơ quan ngang bộ theo Quyết định số 1015/QĐ-TTg</w:t>
      </w:r>
      <w:r w:rsidRPr="00BD7BFC">
        <w:rPr>
          <w:bCs/>
          <w:spacing w:val="-2"/>
          <w:sz w:val="28"/>
          <w:szCs w:val="28"/>
          <w:lang w:val="pl-PL"/>
        </w:rPr>
        <w:t>.</w:t>
      </w:r>
    </w:p>
    <w:p w:rsidR="00A12031" w:rsidRPr="00BD7BFC" w:rsidRDefault="00A12031" w:rsidP="00364780">
      <w:pPr>
        <w:pStyle w:val="TableParagraph"/>
        <w:spacing w:line="288" w:lineRule="auto"/>
        <w:ind w:left="0" w:firstLine="709"/>
        <w:jc w:val="both"/>
        <w:rPr>
          <w:sz w:val="28"/>
          <w:szCs w:val="28"/>
        </w:rPr>
      </w:pPr>
      <w:r w:rsidRPr="00BD7BFC">
        <w:rPr>
          <w:bCs/>
          <w:spacing w:val="-2"/>
          <w:sz w:val="28"/>
          <w:szCs w:val="28"/>
          <w:lang w:val="pl-PL"/>
        </w:rPr>
        <w:t xml:space="preserve">Những nội dung sửa đổi, bổ sung tại Nghị định là yêu cầu về phân cấp thẩm quyền giải quyết thủ tục hành chính thuộc phạm vi quản lý của Bộ Giao thông vận tải trong lĩnh vực hàng hải nhằm </w:t>
      </w:r>
      <w:r w:rsidRPr="00BD7BFC">
        <w:rPr>
          <w:color w:val="000000"/>
          <w:sz w:val="28"/>
          <w:szCs w:val="28"/>
        </w:rPr>
        <w:t>bảo đảm việc nào, cấp nào sát thực tế hơn, giải quyết kịp thời và phục vụ tốt hơn các yêu cầu của tổ chức và người dân thì giao cho cấp đó thực hiện</w:t>
      </w:r>
      <w:r w:rsidRPr="00BD7BFC">
        <w:rPr>
          <w:sz w:val="28"/>
          <w:szCs w:val="28"/>
        </w:rPr>
        <w:t xml:space="preserve">; </w:t>
      </w:r>
      <w:r w:rsidRPr="00BD7BFC">
        <w:rPr>
          <w:sz w:val="28"/>
          <w:szCs w:val="28"/>
          <w:lang w:val="vi-VN"/>
        </w:rPr>
        <w:t xml:space="preserve">tạo điều kiện cho </w:t>
      </w:r>
      <w:r w:rsidRPr="00BD7BFC">
        <w:rPr>
          <w:sz w:val="28"/>
          <w:szCs w:val="28"/>
        </w:rPr>
        <w:t>tổ chức, cá nhân</w:t>
      </w:r>
      <w:r w:rsidRPr="00BD7BFC">
        <w:rPr>
          <w:sz w:val="28"/>
          <w:szCs w:val="28"/>
          <w:lang w:val="vi-VN"/>
        </w:rPr>
        <w:t xml:space="preserve"> </w:t>
      </w:r>
      <w:r w:rsidRPr="00BD7BFC">
        <w:rPr>
          <w:sz w:val="28"/>
          <w:szCs w:val="28"/>
        </w:rPr>
        <w:t xml:space="preserve">theo Quyết định số 1015/QĐ-TTg. </w:t>
      </w:r>
    </w:p>
    <w:p w:rsidR="00A12031" w:rsidRPr="00BD7BFC" w:rsidRDefault="00A12031" w:rsidP="00BD7BFC">
      <w:pPr>
        <w:spacing w:after="0" w:line="288" w:lineRule="auto"/>
        <w:ind w:firstLine="709"/>
        <w:jc w:val="both"/>
        <w:rPr>
          <w:rFonts w:ascii="Times New Roman" w:hAnsi="Times New Roman" w:cs="Times New Roman"/>
          <w:sz w:val="28"/>
          <w:szCs w:val="28"/>
        </w:rPr>
      </w:pPr>
      <w:r w:rsidRPr="00BD7BFC">
        <w:rPr>
          <w:rFonts w:ascii="Times New Roman" w:hAnsi="Times New Roman" w:cs="Times New Roman"/>
          <w:sz w:val="28"/>
          <w:szCs w:val="28"/>
        </w:rPr>
        <w:t xml:space="preserve">Việc xây dựng dự thảo </w:t>
      </w:r>
      <w:r w:rsidRPr="00BD7BFC">
        <w:rPr>
          <w:rFonts w:ascii="Times New Roman" w:hAnsi="Times New Roman" w:cs="Times New Roman"/>
          <w:sz w:val="28"/>
          <w:szCs w:val="28"/>
          <w:lang w:val="pt-BR"/>
        </w:rPr>
        <w:t xml:space="preserve">Nghị định có tác động đến việc phân cấp giải quyết thủ tục hành chính trong lĩnh vực hàng hải. Dự thảo Nghị định sửa đổi, bổ sung nhằm quy định phân cấp thẩm quyền giải quyết thủ tục hành chính </w:t>
      </w:r>
      <w:r w:rsidRPr="00BD7BFC">
        <w:rPr>
          <w:rFonts w:ascii="Times New Roman" w:hAnsi="Times New Roman" w:cs="Times New Roman"/>
          <w:sz w:val="28"/>
          <w:szCs w:val="28"/>
        </w:rPr>
        <w:t>chính từ Bộ Giao thông vận tải về Cục Hàng hải Việt Nam, từ Cục Hàng hải Việt Nam về Chi cục hàng hải, Cảng vụ hàng hải; từ Cảng vụ hàng hải về Chủ tịch Ủy ban nhân dân cấp huyện theo phương án phân cấp trong giải quyết thủ tục hành chính của Thủ tướng Chính phủ.</w:t>
      </w:r>
    </w:p>
    <w:p w:rsidR="00AC5A8C" w:rsidRPr="00BD7BFC" w:rsidRDefault="00A12031" w:rsidP="00AC5A8C">
      <w:pPr>
        <w:spacing w:after="0" w:line="288" w:lineRule="auto"/>
        <w:ind w:firstLine="709"/>
        <w:jc w:val="both"/>
        <w:rPr>
          <w:rFonts w:ascii="Times New Roman" w:hAnsi="Times New Roman" w:cs="Times New Roman"/>
          <w:color w:val="000000"/>
          <w:sz w:val="28"/>
          <w:szCs w:val="28"/>
        </w:rPr>
      </w:pPr>
      <w:r w:rsidRPr="00BD7BFC">
        <w:rPr>
          <w:rFonts w:ascii="Times New Roman" w:hAnsi="Times New Roman" w:cs="Times New Roman"/>
          <w:color w:val="000000"/>
          <w:sz w:val="28"/>
          <w:szCs w:val="28"/>
        </w:rPr>
        <w:t>Dự thảo Nghị định sửa đổ</w:t>
      </w:r>
      <w:r w:rsidR="00A83C44">
        <w:rPr>
          <w:rFonts w:ascii="Times New Roman" w:hAnsi="Times New Roman" w:cs="Times New Roman"/>
          <w:color w:val="000000"/>
          <w:sz w:val="28"/>
          <w:szCs w:val="28"/>
        </w:rPr>
        <w:t xml:space="preserve">i, bổ sung </w:t>
      </w:r>
      <w:r w:rsidRPr="00BD7BFC">
        <w:rPr>
          <w:rFonts w:ascii="Times New Roman" w:hAnsi="Times New Roman" w:cs="Times New Roman"/>
          <w:color w:val="000000"/>
          <w:sz w:val="28"/>
          <w:szCs w:val="28"/>
        </w:rPr>
        <w:t>1</w:t>
      </w:r>
      <w:r w:rsidR="00A83C44">
        <w:rPr>
          <w:rFonts w:ascii="Times New Roman" w:hAnsi="Times New Roman" w:cs="Times New Roman"/>
          <w:color w:val="000000"/>
          <w:sz w:val="28"/>
          <w:szCs w:val="28"/>
        </w:rPr>
        <w:t>2</w:t>
      </w:r>
      <w:r w:rsidRPr="00BD7BFC">
        <w:rPr>
          <w:rFonts w:ascii="Times New Roman" w:hAnsi="Times New Roman" w:cs="Times New Roman"/>
          <w:color w:val="000000"/>
          <w:sz w:val="28"/>
          <w:szCs w:val="28"/>
        </w:rPr>
        <w:t xml:space="preserve"> thủ tục hành chính</w:t>
      </w:r>
      <w:r w:rsidR="00AC5A8C">
        <w:rPr>
          <w:rFonts w:ascii="Times New Roman" w:hAnsi="Times New Roman" w:cs="Times New Roman"/>
          <w:color w:val="000000"/>
          <w:sz w:val="28"/>
          <w:szCs w:val="28"/>
        </w:rPr>
        <w:t xml:space="preserve"> </w:t>
      </w:r>
      <w:r w:rsidR="00AC5A8C" w:rsidRPr="00BD7BFC">
        <w:rPr>
          <w:rFonts w:ascii="Times New Roman" w:hAnsi="Times New Roman" w:cs="Times New Roman"/>
          <w:color w:val="000000"/>
          <w:sz w:val="28"/>
          <w:szCs w:val="28"/>
        </w:rPr>
        <w:t>gồm:</w:t>
      </w:r>
    </w:p>
    <w:p w:rsidR="00A12031" w:rsidRPr="00BD7BFC" w:rsidRDefault="00A12031" w:rsidP="00BD7BFC">
      <w:pPr>
        <w:spacing w:after="0" w:line="288" w:lineRule="auto"/>
        <w:ind w:firstLine="720"/>
        <w:jc w:val="both"/>
        <w:rPr>
          <w:rFonts w:ascii="Times New Roman" w:hAnsi="Times New Roman" w:cs="Times New Roman"/>
          <w:color w:val="000000"/>
          <w:sz w:val="28"/>
          <w:szCs w:val="28"/>
        </w:rPr>
      </w:pPr>
      <w:r w:rsidRPr="00BD7BFC">
        <w:rPr>
          <w:rFonts w:ascii="Times New Roman" w:hAnsi="Times New Roman" w:cs="Times New Roman"/>
          <w:color w:val="000000"/>
          <w:sz w:val="28"/>
          <w:szCs w:val="28"/>
        </w:rPr>
        <w:t xml:space="preserve">- TTHC 1: Thủ tục </w:t>
      </w:r>
      <w:r w:rsidRPr="00BD7BFC">
        <w:rPr>
          <w:rFonts w:ascii="Times New Roman" w:hAnsi="Times New Roman" w:cs="Times New Roman"/>
          <w:bCs/>
          <w:color w:val="000000"/>
          <w:sz w:val="28"/>
          <w:szCs w:val="28"/>
        </w:rPr>
        <w:t>chấp thuận thiết lập báo hiệu hàng hải (Điều 40 Nghị định số 58/2017/NĐ-CP);</w:t>
      </w:r>
    </w:p>
    <w:p w:rsidR="00A12031" w:rsidRPr="00BD7BFC" w:rsidRDefault="00A12031" w:rsidP="00BD7BFC">
      <w:pPr>
        <w:spacing w:after="0" w:line="288" w:lineRule="auto"/>
        <w:ind w:firstLine="720"/>
        <w:jc w:val="both"/>
        <w:rPr>
          <w:rFonts w:ascii="Times New Roman" w:hAnsi="Times New Roman" w:cs="Times New Roman"/>
          <w:color w:val="000000"/>
          <w:sz w:val="28"/>
          <w:szCs w:val="28"/>
        </w:rPr>
      </w:pPr>
      <w:r w:rsidRPr="00BD7BFC">
        <w:rPr>
          <w:rFonts w:ascii="Times New Roman" w:hAnsi="Times New Roman" w:cs="Times New Roman"/>
          <w:color w:val="000000"/>
          <w:sz w:val="28"/>
          <w:szCs w:val="28"/>
        </w:rPr>
        <w:lastRenderedPageBreak/>
        <w:t>- TTHC 2: Thủ tục đưa báo hiệu hàng hải vào sử dụng (</w:t>
      </w:r>
      <w:r w:rsidRPr="00BD7BFC">
        <w:rPr>
          <w:rFonts w:ascii="Times New Roman" w:hAnsi="Times New Roman" w:cs="Times New Roman"/>
          <w:bCs/>
          <w:color w:val="000000"/>
          <w:sz w:val="28"/>
          <w:szCs w:val="28"/>
        </w:rPr>
        <w:t>Điều 41 Nghị định số 58/2017/NĐ-CP);</w:t>
      </w:r>
    </w:p>
    <w:p w:rsidR="00A12031" w:rsidRPr="00364780" w:rsidRDefault="00A12031" w:rsidP="00BD7BFC">
      <w:pPr>
        <w:spacing w:before="120"/>
        <w:ind w:firstLine="720"/>
        <w:jc w:val="both"/>
        <w:rPr>
          <w:rFonts w:ascii="Times New Roman" w:hAnsi="Times New Roman" w:cs="Times New Roman"/>
          <w:bCs/>
          <w:sz w:val="28"/>
          <w:szCs w:val="28"/>
        </w:rPr>
      </w:pPr>
      <w:r w:rsidRPr="00364780">
        <w:rPr>
          <w:rFonts w:ascii="Times New Roman" w:hAnsi="Times New Roman" w:cs="Times New Roman"/>
          <w:b/>
          <w:color w:val="000000"/>
          <w:sz w:val="28"/>
          <w:szCs w:val="28"/>
        </w:rPr>
        <w:t xml:space="preserve">- </w:t>
      </w:r>
      <w:r w:rsidR="00207B55">
        <w:rPr>
          <w:rFonts w:ascii="Times New Roman" w:hAnsi="Times New Roman" w:cs="Times New Roman"/>
          <w:color w:val="000000"/>
          <w:sz w:val="28"/>
          <w:szCs w:val="28"/>
        </w:rPr>
        <w:t>TTHC 3</w:t>
      </w:r>
      <w:r w:rsidRPr="00364780">
        <w:rPr>
          <w:rFonts w:ascii="Times New Roman" w:hAnsi="Times New Roman" w:cs="Times New Roman"/>
          <w:color w:val="000000"/>
          <w:sz w:val="28"/>
          <w:szCs w:val="28"/>
        </w:rPr>
        <w:t>:</w:t>
      </w:r>
      <w:r w:rsidRPr="00364780">
        <w:rPr>
          <w:rFonts w:ascii="Times New Roman" w:hAnsi="Times New Roman" w:cs="Times New Roman"/>
          <w:b/>
          <w:color w:val="000000"/>
          <w:sz w:val="28"/>
          <w:szCs w:val="28"/>
        </w:rPr>
        <w:t xml:space="preserve"> </w:t>
      </w:r>
      <w:r w:rsidR="00BD7BFC" w:rsidRPr="00364780">
        <w:rPr>
          <w:rFonts w:ascii="Times New Roman" w:hAnsi="Times New Roman" w:cs="Times New Roman"/>
          <w:sz w:val="28"/>
          <w:szCs w:val="28"/>
        </w:rPr>
        <w:t xml:space="preserve">Thủ tục cho phương tiện thủy nội địa vào cảng biển (trừ phương tiện thủy nội địa mang cấp VR-SB); </w:t>
      </w:r>
    </w:p>
    <w:p w:rsidR="00A12031" w:rsidRPr="00364780" w:rsidRDefault="00A12031" w:rsidP="00364780">
      <w:pPr>
        <w:spacing w:before="120"/>
        <w:ind w:firstLine="720"/>
        <w:jc w:val="both"/>
        <w:rPr>
          <w:rFonts w:ascii="Times New Roman" w:hAnsi="Times New Roman" w:cs="Times New Roman"/>
          <w:bCs/>
          <w:sz w:val="28"/>
          <w:szCs w:val="28"/>
        </w:rPr>
      </w:pPr>
      <w:r w:rsidRPr="00364780">
        <w:rPr>
          <w:rFonts w:ascii="Times New Roman" w:hAnsi="Times New Roman" w:cs="Times New Roman"/>
          <w:b/>
          <w:color w:val="000000"/>
          <w:sz w:val="28"/>
          <w:szCs w:val="28"/>
        </w:rPr>
        <w:t xml:space="preserve">- </w:t>
      </w:r>
      <w:r w:rsidR="00207B55">
        <w:rPr>
          <w:rFonts w:ascii="Times New Roman" w:hAnsi="Times New Roman" w:cs="Times New Roman"/>
          <w:color w:val="000000"/>
          <w:sz w:val="28"/>
          <w:szCs w:val="28"/>
        </w:rPr>
        <w:t>TTHC 4</w:t>
      </w:r>
      <w:r w:rsidRPr="00364780">
        <w:rPr>
          <w:rFonts w:ascii="Times New Roman" w:hAnsi="Times New Roman" w:cs="Times New Roman"/>
          <w:color w:val="000000"/>
          <w:sz w:val="28"/>
          <w:szCs w:val="28"/>
        </w:rPr>
        <w:t>:</w:t>
      </w:r>
      <w:r w:rsidR="00BD7BFC" w:rsidRPr="00364780">
        <w:rPr>
          <w:rFonts w:ascii="Times New Roman" w:hAnsi="Times New Roman" w:cs="Times New Roman"/>
          <w:b/>
          <w:color w:val="000000"/>
          <w:sz w:val="28"/>
          <w:szCs w:val="28"/>
        </w:rPr>
        <w:t xml:space="preserve"> </w:t>
      </w:r>
      <w:r w:rsidR="00BD7BFC" w:rsidRPr="00364780">
        <w:rPr>
          <w:rFonts w:ascii="Times New Roman" w:hAnsi="Times New Roman" w:cs="Times New Roman"/>
          <w:sz w:val="28"/>
          <w:szCs w:val="28"/>
        </w:rPr>
        <w:t>Thủ tục cho phương tiện thủy nội địa rời) cảng biển (trừ phương tiện thủy nội địa mang cấp VR-SB)</w:t>
      </w:r>
      <w:r w:rsidR="00DF2EB3">
        <w:rPr>
          <w:rFonts w:ascii="Times New Roman" w:hAnsi="Times New Roman" w:cs="Times New Roman"/>
          <w:sz w:val="28"/>
          <w:szCs w:val="28"/>
        </w:rPr>
        <w:t>;</w:t>
      </w:r>
    </w:p>
    <w:p w:rsidR="00A12031" w:rsidRPr="00BD7BFC" w:rsidRDefault="00A12031" w:rsidP="00BD7BFC">
      <w:pPr>
        <w:spacing w:after="0" w:line="288" w:lineRule="auto"/>
        <w:ind w:firstLine="720"/>
        <w:jc w:val="both"/>
        <w:rPr>
          <w:rFonts w:ascii="Times New Roman" w:hAnsi="Times New Roman" w:cs="Times New Roman"/>
          <w:color w:val="000000"/>
          <w:sz w:val="28"/>
          <w:szCs w:val="28"/>
        </w:rPr>
      </w:pPr>
      <w:r w:rsidRPr="00BD7BFC">
        <w:rPr>
          <w:rFonts w:ascii="Times New Roman" w:hAnsi="Times New Roman" w:cs="Times New Roman"/>
          <w:color w:val="000000"/>
          <w:sz w:val="28"/>
          <w:szCs w:val="28"/>
        </w:rPr>
        <w:t xml:space="preserve">- </w:t>
      </w:r>
      <w:r w:rsidR="00207B55">
        <w:rPr>
          <w:rFonts w:ascii="Times New Roman" w:hAnsi="Times New Roman" w:cs="Times New Roman"/>
          <w:color w:val="000000"/>
          <w:sz w:val="28"/>
          <w:szCs w:val="28"/>
        </w:rPr>
        <w:t>TTHC 5</w:t>
      </w:r>
      <w:r w:rsidRPr="00BD7BFC">
        <w:rPr>
          <w:rFonts w:ascii="Times New Roman" w:hAnsi="Times New Roman" w:cs="Times New Roman"/>
          <w:color w:val="000000"/>
          <w:sz w:val="28"/>
          <w:szCs w:val="28"/>
        </w:rPr>
        <w:t>: Thủ tục tạm dừng hoạt động, đóng cảng cạn (Khoản 3 Điều 22 Nghị định số 38/2017/NĐ-CP);</w:t>
      </w:r>
    </w:p>
    <w:p w:rsidR="00A12031" w:rsidRPr="00BD7BFC" w:rsidRDefault="00A12031" w:rsidP="00BD7BFC">
      <w:pPr>
        <w:spacing w:after="0" w:line="288" w:lineRule="auto"/>
        <w:ind w:firstLine="720"/>
        <w:jc w:val="both"/>
        <w:rPr>
          <w:rFonts w:ascii="Times New Roman" w:hAnsi="Times New Roman" w:cs="Times New Roman"/>
          <w:color w:val="000000"/>
          <w:sz w:val="28"/>
          <w:szCs w:val="28"/>
        </w:rPr>
      </w:pPr>
      <w:r w:rsidRPr="00BD7BFC">
        <w:rPr>
          <w:rFonts w:ascii="Times New Roman" w:hAnsi="Times New Roman" w:cs="Times New Roman"/>
          <w:color w:val="000000"/>
          <w:sz w:val="28"/>
          <w:szCs w:val="28"/>
        </w:rPr>
        <w:t xml:space="preserve">- </w:t>
      </w:r>
      <w:r w:rsidR="00207B55">
        <w:rPr>
          <w:rFonts w:ascii="Times New Roman" w:hAnsi="Times New Roman" w:cs="Times New Roman"/>
          <w:color w:val="000000"/>
          <w:sz w:val="28"/>
          <w:szCs w:val="28"/>
        </w:rPr>
        <w:t>TTHC 6</w:t>
      </w:r>
      <w:r w:rsidRPr="00BD7BFC">
        <w:rPr>
          <w:rFonts w:ascii="Times New Roman" w:hAnsi="Times New Roman" w:cs="Times New Roman"/>
          <w:color w:val="000000"/>
          <w:sz w:val="28"/>
          <w:szCs w:val="28"/>
        </w:rPr>
        <w:t>: Thủ tục đổi tên cảng cạn (Điều 24 Nghị định số 38/2017/NĐ-CP);</w:t>
      </w:r>
    </w:p>
    <w:p w:rsidR="00A12031" w:rsidRPr="00BD7BFC" w:rsidRDefault="00A12031" w:rsidP="00BD7BFC">
      <w:pPr>
        <w:spacing w:after="0" w:line="288" w:lineRule="auto"/>
        <w:ind w:firstLine="720"/>
        <w:jc w:val="both"/>
        <w:rPr>
          <w:rFonts w:ascii="Times New Roman" w:hAnsi="Times New Roman" w:cs="Times New Roman"/>
          <w:color w:val="000000"/>
          <w:sz w:val="28"/>
          <w:szCs w:val="28"/>
        </w:rPr>
      </w:pPr>
      <w:r w:rsidRPr="00BD7BFC">
        <w:rPr>
          <w:rFonts w:ascii="Times New Roman" w:hAnsi="Times New Roman" w:cs="Times New Roman"/>
          <w:color w:val="000000"/>
          <w:sz w:val="28"/>
          <w:szCs w:val="28"/>
        </w:rPr>
        <w:t xml:space="preserve">- </w:t>
      </w:r>
      <w:r w:rsidR="00207B55">
        <w:rPr>
          <w:rFonts w:ascii="Times New Roman" w:hAnsi="Times New Roman" w:cs="Times New Roman"/>
          <w:color w:val="000000"/>
          <w:sz w:val="28"/>
          <w:szCs w:val="28"/>
        </w:rPr>
        <w:t>TTHC 7</w:t>
      </w:r>
      <w:r w:rsidRPr="00BD7BFC">
        <w:rPr>
          <w:rFonts w:ascii="Times New Roman" w:hAnsi="Times New Roman" w:cs="Times New Roman"/>
          <w:color w:val="000000"/>
          <w:sz w:val="28"/>
          <w:szCs w:val="28"/>
        </w:rPr>
        <w:t xml:space="preserve">: Thủ tục </w:t>
      </w:r>
      <w:r w:rsidRPr="00BD7BFC">
        <w:rPr>
          <w:rFonts w:ascii="Times New Roman" w:hAnsi="Times New Roman" w:cs="Times New Roman"/>
          <w:bCs/>
          <w:color w:val="000000"/>
          <w:sz w:val="28"/>
          <w:szCs w:val="28"/>
        </w:rPr>
        <w:t>Cấp Giấy chứng nhận cơ sở đủ điều kiện đào tạo, huấn luyện thuyền viên hàng hải (Điều 7 Nghị định số 29/2017/NĐ-CP);</w:t>
      </w:r>
    </w:p>
    <w:p w:rsidR="00A12031" w:rsidRPr="00BD7BFC" w:rsidRDefault="00A12031" w:rsidP="00BD7BFC">
      <w:pPr>
        <w:spacing w:after="0" w:line="288" w:lineRule="auto"/>
        <w:ind w:firstLine="720"/>
        <w:jc w:val="both"/>
        <w:rPr>
          <w:rFonts w:ascii="Times New Roman" w:hAnsi="Times New Roman" w:cs="Times New Roman"/>
          <w:color w:val="000000"/>
          <w:sz w:val="28"/>
          <w:szCs w:val="28"/>
        </w:rPr>
      </w:pPr>
      <w:r w:rsidRPr="00BD7BFC">
        <w:rPr>
          <w:rFonts w:ascii="Times New Roman" w:hAnsi="Times New Roman" w:cs="Times New Roman"/>
          <w:color w:val="000000"/>
          <w:sz w:val="28"/>
          <w:szCs w:val="28"/>
        </w:rPr>
        <w:t xml:space="preserve">- </w:t>
      </w:r>
      <w:r w:rsidR="00207B55">
        <w:rPr>
          <w:rFonts w:ascii="Times New Roman" w:hAnsi="Times New Roman" w:cs="Times New Roman"/>
          <w:bCs/>
          <w:color w:val="000000"/>
          <w:sz w:val="28"/>
          <w:szCs w:val="28"/>
        </w:rPr>
        <w:t>TTHC 8</w:t>
      </w:r>
      <w:r w:rsidRPr="00BD7BFC">
        <w:rPr>
          <w:rFonts w:ascii="Times New Roman" w:hAnsi="Times New Roman" w:cs="Times New Roman"/>
          <w:bCs/>
          <w:color w:val="000000"/>
          <w:sz w:val="28"/>
          <w:szCs w:val="28"/>
        </w:rPr>
        <w:t>: Cấp lại Giấy chứng nhận cơ sở đủ điều kiện đào tạo, huấn luyện thuyền viên hàng hải (Điều 8 Nghị định số 29/2017/NĐ-CP);</w:t>
      </w:r>
    </w:p>
    <w:p w:rsidR="00A12031" w:rsidRPr="00BD7BFC" w:rsidRDefault="00A12031" w:rsidP="00BD7BFC">
      <w:pPr>
        <w:spacing w:after="0" w:line="288" w:lineRule="auto"/>
        <w:ind w:firstLine="720"/>
        <w:jc w:val="both"/>
        <w:rPr>
          <w:rFonts w:ascii="Times New Roman" w:hAnsi="Times New Roman" w:cs="Times New Roman"/>
          <w:color w:val="000000"/>
          <w:sz w:val="28"/>
          <w:szCs w:val="28"/>
        </w:rPr>
      </w:pPr>
      <w:r w:rsidRPr="00BD7BFC">
        <w:rPr>
          <w:rFonts w:ascii="Times New Roman" w:hAnsi="Times New Roman" w:cs="Times New Roman"/>
          <w:color w:val="000000"/>
          <w:sz w:val="28"/>
          <w:szCs w:val="28"/>
        </w:rPr>
        <w:t xml:space="preserve">- </w:t>
      </w:r>
      <w:r w:rsidRPr="00BD7BFC">
        <w:rPr>
          <w:rFonts w:ascii="Times New Roman" w:hAnsi="Times New Roman" w:cs="Times New Roman"/>
          <w:bCs/>
          <w:color w:val="000000"/>
          <w:sz w:val="28"/>
          <w:szCs w:val="28"/>
        </w:rPr>
        <w:t xml:space="preserve">TTHC </w:t>
      </w:r>
      <w:r w:rsidR="00207B55">
        <w:rPr>
          <w:rFonts w:ascii="Times New Roman" w:hAnsi="Times New Roman" w:cs="Times New Roman"/>
          <w:bCs/>
          <w:color w:val="000000"/>
          <w:sz w:val="28"/>
          <w:szCs w:val="28"/>
        </w:rPr>
        <w:t>9</w:t>
      </w:r>
      <w:r w:rsidRPr="00BD7BFC">
        <w:rPr>
          <w:rFonts w:ascii="Times New Roman" w:hAnsi="Times New Roman" w:cs="Times New Roman"/>
          <w:bCs/>
          <w:color w:val="000000"/>
          <w:sz w:val="28"/>
          <w:szCs w:val="28"/>
        </w:rPr>
        <w:t xml:space="preserve">: </w:t>
      </w:r>
      <w:r w:rsidRPr="00BD7BFC">
        <w:rPr>
          <w:rFonts w:ascii="Times New Roman" w:hAnsi="Times New Roman" w:cs="Times New Roman"/>
          <w:color w:val="000000"/>
          <w:sz w:val="28"/>
          <w:szCs w:val="28"/>
        </w:rPr>
        <w:t>Cấp Giấy xác nhận phù hợp về tuyển dụng và cung ứng thuyền viên hàng hải (Điều 13 Nghị định số 29/2017/NĐ-CP);</w:t>
      </w:r>
    </w:p>
    <w:p w:rsidR="00A12031" w:rsidRPr="00BD7BFC" w:rsidRDefault="00A12031" w:rsidP="00BD7BFC">
      <w:pPr>
        <w:spacing w:after="0" w:line="288" w:lineRule="auto"/>
        <w:ind w:firstLine="720"/>
        <w:jc w:val="both"/>
        <w:rPr>
          <w:rFonts w:ascii="Times New Roman" w:hAnsi="Times New Roman" w:cs="Times New Roman"/>
          <w:color w:val="000000"/>
          <w:sz w:val="28"/>
          <w:szCs w:val="28"/>
        </w:rPr>
      </w:pPr>
      <w:r w:rsidRPr="00BD7BFC">
        <w:rPr>
          <w:rFonts w:ascii="Times New Roman" w:hAnsi="Times New Roman" w:cs="Times New Roman"/>
          <w:bCs/>
          <w:color w:val="000000"/>
          <w:sz w:val="28"/>
          <w:szCs w:val="28"/>
        </w:rPr>
        <w:t xml:space="preserve">- TTHC </w:t>
      </w:r>
      <w:r w:rsidR="00207B55">
        <w:rPr>
          <w:rFonts w:ascii="Times New Roman" w:hAnsi="Times New Roman" w:cs="Times New Roman"/>
          <w:bCs/>
          <w:color w:val="000000"/>
          <w:sz w:val="28"/>
          <w:szCs w:val="28"/>
        </w:rPr>
        <w:t>10</w:t>
      </w:r>
      <w:r w:rsidRPr="00BD7BFC">
        <w:rPr>
          <w:rFonts w:ascii="Times New Roman" w:hAnsi="Times New Roman" w:cs="Times New Roman"/>
          <w:bCs/>
          <w:color w:val="000000"/>
          <w:sz w:val="28"/>
          <w:szCs w:val="28"/>
        </w:rPr>
        <w:t xml:space="preserve">: </w:t>
      </w:r>
      <w:r w:rsidRPr="00BD7BFC">
        <w:rPr>
          <w:rFonts w:ascii="Times New Roman" w:hAnsi="Times New Roman" w:cs="Times New Roman"/>
          <w:color w:val="000000"/>
          <w:sz w:val="28"/>
          <w:szCs w:val="28"/>
        </w:rPr>
        <w:t>Cấp lại Giấy xác nhận phù hợp về tuyển dụng và cung ứng thuyền viên hàng hải (Điều 14 Nghị định số 29/2017/NĐ-CP);</w:t>
      </w:r>
    </w:p>
    <w:p w:rsidR="00A12031" w:rsidRPr="00BD7BFC" w:rsidRDefault="00A12031" w:rsidP="00BD7BFC">
      <w:pPr>
        <w:spacing w:after="0" w:line="288" w:lineRule="auto"/>
        <w:ind w:firstLine="720"/>
        <w:jc w:val="both"/>
        <w:rPr>
          <w:rFonts w:ascii="Times New Roman" w:hAnsi="Times New Roman" w:cs="Times New Roman"/>
          <w:color w:val="000000"/>
          <w:sz w:val="28"/>
          <w:szCs w:val="28"/>
        </w:rPr>
      </w:pPr>
      <w:r w:rsidRPr="00BD7BFC">
        <w:rPr>
          <w:rFonts w:ascii="Times New Roman" w:hAnsi="Times New Roman" w:cs="Times New Roman"/>
          <w:bCs/>
          <w:color w:val="000000"/>
          <w:sz w:val="28"/>
          <w:szCs w:val="28"/>
        </w:rPr>
        <w:t xml:space="preserve">- TTHC </w:t>
      </w:r>
      <w:r w:rsidR="00207B55">
        <w:rPr>
          <w:rFonts w:ascii="Times New Roman" w:hAnsi="Times New Roman" w:cs="Times New Roman"/>
          <w:bCs/>
          <w:color w:val="000000"/>
          <w:sz w:val="28"/>
          <w:szCs w:val="28"/>
        </w:rPr>
        <w:t>11</w:t>
      </w:r>
      <w:r w:rsidRPr="00BD7BFC">
        <w:rPr>
          <w:rFonts w:ascii="Times New Roman" w:hAnsi="Times New Roman" w:cs="Times New Roman"/>
          <w:bCs/>
          <w:color w:val="000000"/>
          <w:sz w:val="28"/>
          <w:szCs w:val="28"/>
        </w:rPr>
        <w:t xml:space="preserve">: </w:t>
      </w:r>
      <w:r w:rsidRPr="00BD7BFC">
        <w:rPr>
          <w:rFonts w:ascii="Times New Roman" w:hAnsi="Times New Roman" w:cs="Times New Roman"/>
          <w:color w:val="000000"/>
          <w:sz w:val="28"/>
          <w:szCs w:val="28"/>
        </w:rPr>
        <w:t>Quyết định đưa cơ sở phá dỡ tàu biển vào hoạt động (Điều 9 Nghị định số 82/2019/NĐ-CP);</w:t>
      </w:r>
    </w:p>
    <w:p w:rsidR="00A12031" w:rsidRDefault="009F55F8" w:rsidP="00BD7BFC">
      <w:pPr>
        <w:spacing w:after="0" w:line="288"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TTHC 12</w:t>
      </w:r>
      <w:r w:rsidR="00A12031" w:rsidRPr="00BD7BFC">
        <w:rPr>
          <w:rFonts w:ascii="Times New Roman" w:hAnsi="Times New Roman" w:cs="Times New Roman"/>
          <w:color w:val="000000"/>
          <w:sz w:val="28"/>
          <w:szCs w:val="28"/>
        </w:rPr>
        <w:t>: Quyết định lại đưa cơ sở phá dỡ tàu biển vào hoạt động (Điều 10 Nghị định số 82/2019/NĐ-CP).</w:t>
      </w:r>
    </w:p>
    <w:p w:rsidR="00AC5A8C" w:rsidRDefault="00AC5A8C" w:rsidP="00AC5A8C">
      <w:pPr>
        <w:spacing w:after="0" w:line="288" w:lineRule="auto"/>
        <w:ind w:firstLine="709"/>
        <w:jc w:val="both"/>
        <w:rPr>
          <w:rFonts w:ascii="Times New Roman" w:hAnsi="Times New Roman" w:cs="Times New Roman"/>
          <w:color w:val="000000"/>
          <w:sz w:val="28"/>
          <w:szCs w:val="28"/>
        </w:rPr>
      </w:pPr>
      <w:r w:rsidRPr="00BD7BFC">
        <w:rPr>
          <w:rFonts w:ascii="Times New Roman" w:hAnsi="Times New Roman" w:cs="Times New Roman"/>
          <w:color w:val="000000"/>
          <w:sz w:val="28"/>
          <w:szCs w:val="28"/>
        </w:rPr>
        <w:t xml:space="preserve">Dự thảo Nghị định </w:t>
      </w:r>
      <w:r>
        <w:rPr>
          <w:rFonts w:ascii="Times New Roman" w:hAnsi="Times New Roman" w:cs="Times New Roman"/>
          <w:color w:val="000000"/>
          <w:sz w:val="28"/>
          <w:szCs w:val="28"/>
        </w:rPr>
        <w:t>bãi bỏ 01 thủ tục hành chính:</w:t>
      </w:r>
    </w:p>
    <w:p w:rsidR="00AC5A8C" w:rsidRPr="00BD7BFC" w:rsidRDefault="00AC5A8C" w:rsidP="006A74F1">
      <w:pPr>
        <w:spacing w:after="0" w:line="288"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C5A8C">
        <w:rPr>
          <w:rFonts w:ascii="Times New Roman" w:hAnsi="Times New Roman" w:cs="Times New Roman"/>
          <w:color w:val="000000"/>
          <w:sz w:val="28"/>
          <w:szCs w:val="28"/>
        </w:rPr>
        <w:t>Chấp thuận cắm đăng đáy, đánh bắt và nuôi trồng thủy hải sản trong vùng nước cảng biển (Khoản 3 Điều 110 Nghị định số 58/2017/NĐ-CP)</w:t>
      </w:r>
      <w:r w:rsidR="006A74F1">
        <w:rPr>
          <w:rFonts w:ascii="Times New Roman" w:hAnsi="Times New Roman" w:cs="Times New Roman"/>
          <w:color w:val="000000"/>
          <w:sz w:val="28"/>
          <w:szCs w:val="28"/>
        </w:rPr>
        <w:t>.</w:t>
      </w:r>
    </w:p>
    <w:p w:rsidR="001D2E15" w:rsidRPr="001D2E15" w:rsidRDefault="001D2E15" w:rsidP="00DF2EB3">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2E15">
        <w:rPr>
          <w:rFonts w:ascii="Times New Roman" w:eastAsia="Times New Roman" w:hAnsi="Times New Roman" w:cs="Times New Roman"/>
          <w:b/>
          <w:bCs/>
          <w:color w:val="000000"/>
          <w:sz w:val="28"/>
          <w:szCs w:val="28"/>
          <w:lang w:val="vi-VN"/>
        </w:rPr>
        <w:t>II. Đánh giá tác động của từng thủ tục hành chính</w:t>
      </w:r>
    </w:p>
    <w:p w:rsidR="001D2E15" w:rsidRPr="001D2E15" w:rsidRDefault="001D2E15" w:rsidP="00DF2EB3">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2E15">
        <w:rPr>
          <w:rFonts w:ascii="Times New Roman" w:eastAsia="Times New Roman" w:hAnsi="Times New Roman" w:cs="Times New Roman"/>
          <w:b/>
          <w:bCs/>
          <w:i/>
          <w:iCs/>
          <w:color w:val="000000"/>
          <w:sz w:val="28"/>
          <w:szCs w:val="28"/>
          <w:lang w:val="vi-VN"/>
        </w:rPr>
        <w:t>1. Đối với những thủ tục hành chính dự kiến ban hành mới</w:t>
      </w:r>
    </w:p>
    <w:p w:rsidR="00A12031" w:rsidRPr="00BD7BFC" w:rsidRDefault="00A12031" w:rsidP="00DF2EB3">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BD7BFC">
        <w:rPr>
          <w:rFonts w:ascii="Times New Roman" w:eastAsia="Times New Roman" w:hAnsi="Times New Roman" w:cs="Times New Roman"/>
          <w:color w:val="000000"/>
          <w:sz w:val="28"/>
          <w:szCs w:val="28"/>
        </w:rPr>
        <w:t xml:space="preserve">Tại dự thảo </w:t>
      </w:r>
      <w:r w:rsidRPr="00BD7BFC">
        <w:rPr>
          <w:rFonts w:ascii="Times New Roman" w:hAnsi="Times New Roman" w:cs="Times New Roman"/>
          <w:sz w:val="28"/>
          <w:szCs w:val="28"/>
          <w:lang w:val="pt-BR"/>
        </w:rPr>
        <w:t>Nghị định quy định liên quan đến phân cấp giải quyết thủ tục hành chính trong lĩnh vực hàng hải</w:t>
      </w:r>
      <w:r w:rsidR="00A36E36">
        <w:rPr>
          <w:rFonts w:ascii="Times New Roman" w:hAnsi="Times New Roman" w:cs="Times New Roman"/>
          <w:sz w:val="28"/>
          <w:szCs w:val="28"/>
          <w:lang w:val="pt-BR"/>
        </w:rPr>
        <w:t xml:space="preserve"> không</w:t>
      </w:r>
      <w:r w:rsidRPr="00BD7BFC">
        <w:rPr>
          <w:rFonts w:ascii="Times New Roman" w:hAnsi="Times New Roman" w:cs="Times New Roman"/>
          <w:sz w:val="28"/>
          <w:szCs w:val="28"/>
          <w:lang w:val="pt-BR"/>
        </w:rPr>
        <w:t xml:space="preserve"> quy định thủ tục hành chính ban hành mới.</w:t>
      </w:r>
    </w:p>
    <w:p w:rsidR="001D2E15" w:rsidRPr="001D2E15" w:rsidRDefault="001D2E15" w:rsidP="00DF2EB3">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2E15">
        <w:rPr>
          <w:rFonts w:ascii="Times New Roman" w:eastAsia="Times New Roman" w:hAnsi="Times New Roman" w:cs="Times New Roman"/>
          <w:b/>
          <w:bCs/>
          <w:i/>
          <w:iCs/>
          <w:color w:val="000000"/>
          <w:sz w:val="28"/>
          <w:szCs w:val="28"/>
          <w:lang w:val="vi-VN"/>
        </w:rPr>
        <w:t>2. Đối với những thủ tục hành chính được quy định chi tiết hoặc được sửa đổi, bổ sung</w:t>
      </w:r>
    </w:p>
    <w:p w:rsidR="001D2E15" w:rsidRPr="001D2E15" w:rsidRDefault="001D2E15" w:rsidP="00DF2EB3">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2E15">
        <w:rPr>
          <w:rFonts w:ascii="Times New Roman" w:eastAsia="Times New Roman" w:hAnsi="Times New Roman" w:cs="Times New Roman"/>
          <w:color w:val="000000"/>
          <w:sz w:val="28"/>
          <w:szCs w:val="28"/>
          <w:lang w:val="vi-VN"/>
        </w:rPr>
        <w:t>Cơ quan chủ trì so</w:t>
      </w:r>
      <w:r w:rsidRPr="001D2E15">
        <w:rPr>
          <w:rFonts w:ascii="Times New Roman" w:eastAsia="Times New Roman" w:hAnsi="Times New Roman" w:cs="Times New Roman"/>
          <w:color w:val="000000"/>
          <w:sz w:val="28"/>
          <w:szCs w:val="28"/>
        </w:rPr>
        <w:t>ạ</w:t>
      </w:r>
      <w:r w:rsidRPr="001D2E15">
        <w:rPr>
          <w:rFonts w:ascii="Times New Roman" w:eastAsia="Times New Roman" w:hAnsi="Times New Roman" w:cs="Times New Roman"/>
          <w:color w:val="000000"/>
          <w:sz w:val="28"/>
          <w:szCs w:val="28"/>
          <w:lang w:val="vi-VN"/>
        </w:rPr>
        <w:t>n thảo tổng hợp kết quả đánh giá tác động của thủ tục hành chính được sửa đổi, bổ sung tại Biểu mẫu s</w:t>
      </w:r>
      <w:r w:rsidRPr="001D2E15">
        <w:rPr>
          <w:rFonts w:ascii="Times New Roman" w:eastAsia="Times New Roman" w:hAnsi="Times New Roman" w:cs="Times New Roman"/>
          <w:color w:val="000000"/>
          <w:sz w:val="28"/>
          <w:szCs w:val="28"/>
        </w:rPr>
        <w:t>ố</w:t>
      </w:r>
      <w:r w:rsidRPr="001D2E15">
        <w:rPr>
          <w:rFonts w:ascii="Times New Roman" w:eastAsia="Times New Roman" w:hAnsi="Times New Roman" w:cs="Times New Roman"/>
          <w:color w:val="000000"/>
          <w:sz w:val="28"/>
          <w:szCs w:val="28"/>
          <w:lang w:val="vi-VN"/>
        </w:rPr>
        <w:t> 03/ĐGTĐ-QĐCT/SĐ</w:t>
      </w:r>
      <w:r w:rsidR="004319A4" w:rsidRPr="00BD7BFC">
        <w:rPr>
          <w:rFonts w:ascii="Times New Roman" w:eastAsia="Times New Roman" w:hAnsi="Times New Roman" w:cs="Times New Roman"/>
          <w:color w:val="000000"/>
          <w:sz w:val="28"/>
          <w:szCs w:val="28"/>
          <w:lang w:val="vi-VN"/>
        </w:rPr>
        <w:t xml:space="preserve">BS </w:t>
      </w:r>
      <w:r w:rsidRPr="001D2E15">
        <w:rPr>
          <w:rFonts w:ascii="Times New Roman" w:eastAsia="Times New Roman" w:hAnsi="Times New Roman" w:cs="Times New Roman"/>
          <w:color w:val="000000"/>
          <w:sz w:val="28"/>
          <w:szCs w:val="28"/>
          <w:lang w:val="vi-VN"/>
        </w:rPr>
        <w:t>và chi phí tuân thủ thủ tục hành chính được sửa đổi, bổ sung tại Biểu mẫu số 04/ĐGTĐ-S</w:t>
      </w:r>
      <w:r w:rsidR="004319A4" w:rsidRPr="00BD7BFC">
        <w:rPr>
          <w:rFonts w:ascii="Times New Roman" w:eastAsia="Times New Roman" w:hAnsi="Times New Roman" w:cs="Times New Roman"/>
          <w:color w:val="000000"/>
          <w:sz w:val="28"/>
          <w:szCs w:val="28"/>
          <w:lang w:val="vi-VN"/>
        </w:rPr>
        <w:t xml:space="preserve">CM Phụ lục II kèm theo Thông tư Phụ lục II kèm theo Thông tư </w:t>
      </w:r>
      <w:r w:rsidR="004319A4" w:rsidRPr="00BD7BFC">
        <w:rPr>
          <w:rFonts w:ascii="Times New Roman" w:hAnsi="Times New Roman" w:cs="Times New Roman"/>
          <w:color w:val="000000"/>
          <w:sz w:val="28"/>
          <w:szCs w:val="28"/>
          <w:shd w:val="clear" w:color="auto" w:fill="FFFFFF"/>
        </w:rPr>
        <w:t xml:space="preserve">số 03/2022/TT-BTP ngày 10/2/2022 hướng dẫn việc đánh giá tác động của thủ tục hành chính </w:t>
      </w:r>
      <w:r w:rsidR="004319A4" w:rsidRPr="00BD7BFC">
        <w:rPr>
          <w:rFonts w:ascii="Times New Roman" w:hAnsi="Times New Roman" w:cs="Times New Roman"/>
          <w:color w:val="000000"/>
          <w:sz w:val="28"/>
          <w:szCs w:val="28"/>
          <w:shd w:val="clear" w:color="auto" w:fill="FFFFFF"/>
        </w:rPr>
        <w:lastRenderedPageBreak/>
        <w:t xml:space="preserve">trong lập đề nghị xây dựng văn bản quy phạm pháp luật và soạn thảo dự án, dự thảo văn bản quy phạm pháp luật. Trong bản đánh </w:t>
      </w:r>
      <w:r w:rsidR="005A22E8">
        <w:rPr>
          <w:rFonts w:ascii="Times New Roman" w:hAnsi="Times New Roman" w:cs="Times New Roman"/>
          <w:color w:val="000000"/>
          <w:sz w:val="28"/>
          <w:szCs w:val="28"/>
          <w:shd w:val="clear" w:color="auto" w:fill="FFFFFF"/>
        </w:rPr>
        <w:t xml:space="preserve">giá </w:t>
      </w:r>
      <w:r w:rsidR="004319A4" w:rsidRPr="00BD7BFC">
        <w:rPr>
          <w:rFonts w:ascii="Times New Roman" w:eastAsia="Times New Roman" w:hAnsi="Times New Roman" w:cs="Times New Roman"/>
          <w:color w:val="000000"/>
          <w:sz w:val="28"/>
          <w:szCs w:val="28"/>
        </w:rPr>
        <w:t xml:space="preserve">đã </w:t>
      </w:r>
      <w:r w:rsidRPr="001D2E15">
        <w:rPr>
          <w:rFonts w:ascii="Times New Roman" w:eastAsia="Times New Roman" w:hAnsi="Times New Roman" w:cs="Times New Roman"/>
          <w:color w:val="000000"/>
          <w:sz w:val="28"/>
          <w:szCs w:val="28"/>
          <w:lang w:val="vi-VN"/>
        </w:rPr>
        <w:t>thuyết minh rõ tính đơn giản, ưu điểm và lợi ích về chi phí tuân thủ thủ tục hành chính được sửa đổi, bổ sung.</w:t>
      </w:r>
    </w:p>
    <w:p w:rsidR="001D2E15" w:rsidRPr="001D2E15" w:rsidRDefault="001D2E15" w:rsidP="00DF2EB3">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2E15">
        <w:rPr>
          <w:rFonts w:ascii="Times New Roman" w:eastAsia="Times New Roman" w:hAnsi="Times New Roman" w:cs="Times New Roman"/>
          <w:b/>
          <w:bCs/>
          <w:i/>
          <w:iCs/>
          <w:color w:val="000000"/>
          <w:sz w:val="28"/>
          <w:szCs w:val="28"/>
          <w:lang w:val="vi-VN"/>
        </w:rPr>
        <w:t>3. Đối với những thủ tục hành chính được bãi bỏ</w:t>
      </w:r>
    </w:p>
    <w:p w:rsidR="001D2E15" w:rsidRPr="001D2E15" w:rsidRDefault="004319A4" w:rsidP="00DF2EB3">
      <w:pPr>
        <w:spacing w:after="0" w:line="288" w:lineRule="auto"/>
        <w:ind w:firstLine="720"/>
        <w:jc w:val="both"/>
        <w:rPr>
          <w:rFonts w:ascii="Times New Roman" w:hAnsi="Times New Roman" w:cs="Times New Roman"/>
          <w:sz w:val="28"/>
          <w:szCs w:val="28"/>
        </w:rPr>
      </w:pPr>
      <w:r w:rsidRPr="00BD7BFC">
        <w:rPr>
          <w:rFonts w:ascii="Times New Roman" w:eastAsia="Times New Roman" w:hAnsi="Times New Roman" w:cs="Times New Roman"/>
          <w:color w:val="000000"/>
          <w:sz w:val="28"/>
          <w:szCs w:val="28"/>
        </w:rPr>
        <w:t xml:space="preserve">Dự thảo Nghị định đề xuất bãi bỏ </w:t>
      </w:r>
      <w:r w:rsidR="006A74F1">
        <w:rPr>
          <w:rFonts w:ascii="Times New Roman" w:eastAsia="Times New Roman" w:hAnsi="Times New Roman" w:cs="Times New Roman"/>
          <w:color w:val="000000"/>
          <w:sz w:val="28"/>
          <w:szCs w:val="28"/>
        </w:rPr>
        <w:t xml:space="preserve">01 </w:t>
      </w:r>
      <w:r w:rsidRPr="00BD7BFC">
        <w:rPr>
          <w:rFonts w:ascii="Times New Roman" w:eastAsia="Times New Roman" w:hAnsi="Times New Roman" w:cs="Times New Roman"/>
          <w:color w:val="000000"/>
          <w:sz w:val="28"/>
          <w:szCs w:val="28"/>
        </w:rPr>
        <w:t>TTHC “</w:t>
      </w:r>
      <w:r w:rsidRPr="00BD7BFC">
        <w:rPr>
          <w:rFonts w:ascii="Times New Roman" w:hAnsi="Times New Roman" w:cs="Times New Roman"/>
          <w:i/>
          <w:color w:val="000000"/>
          <w:sz w:val="28"/>
          <w:szCs w:val="28"/>
        </w:rPr>
        <w:t>Chấp thuận cắm đăng đáy, đánh bắt và nuôi trồng thủy hải sản trong vùng nước cảng biển (Khoản 3 Điều 110 Nghị định số 58/2017/NĐ-CP)</w:t>
      </w:r>
      <w:r w:rsidRPr="00BD7BFC">
        <w:rPr>
          <w:rFonts w:ascii="Times New Roman" w:hAnsi="Times New Roman" w:cs="Times New Roman"/>
          <w:color w:val="000000"/>
          <w:sz w:val="28"/>
          <w:szCs w:val="28"/>
        </w:rPr>
        <w:t xml:space="preserve">” do </w:t>
      </w:r>
      <w:r w:rsidRPr="00BD7BFC">
        <w:rPr>
          <w:rFonts w:ascii="Times New Roman" w:hAnsi="Times New Roman" w:cs="Times New Roman"/>
          <w:sz w:val="28"/>
          <w:szCs w:val="28"/>
        </w:rPr>
        <w:t>để bảo đảm phù hợp với các quy định pháp luật về thủy sản. Tuy nhiên, để bảo đảm công tác an toàn, an ninh hàng hải cho tàu thuyền hoạt động, đề nghị cơ quan có thẩm quyền cấp phép nuôi trồng thủy sản trên biển cho tổ chức, cá nhân Việt Nam (trong đó có cấp phép cho tổ chức, cá nhân thực hiện đăng đáy, đánh bắt và nuôi trồng thủy hải sản trong vùng nước cảng biển) phải lấy ý kiến của cảng vụ hàng hải khu vực.</w:t>
      </w:r>
    </w:p>
    <w:p w:rsidR="001D2E15" w:rsidRPr="001D2E15" w:rsidRDefault="001D2E15" w:rsidP="00DF2EB3">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2E15">
        <w:rPr>
          <w:rFonts w:ascii="Times New Roman" w:eastAsia="Times New Roman" w:hAnsi="Times New Roman" w:cs="Times New Roman"/>
          <w:b/>
          <w:bCs/>
          <w:color w:val="000000"/>
          <w:sz w:val="28"/>
          <w:szCs w:val="28"/>
          <w:lang w:val="vi-VN"/>
        </w:rPr>
        <w:t>III. Lấy ý kiến</w:t>
      </w:r>
    </w:p>
    <w:p w:rsidR="001D2E15" w:rsidRPr="001D2E15" w:rsidRDefault="004319A4" w:rsidP="00DF2EB3">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BD7BFC">
        <w:rPr>
          <w:rFonts w:ascii="Times New Roman" w:eastAsia="Times New Roman" w:hAnsi="Times New Roman" w:cs="Times New Roman"/>
          <w:color w:val="000000"/>
          <w:sz w:val="28"/>
          <w:szCs w:val="28"/>
        </w:rPr>
        <w:t xml:space="preserve">Cơ quan chủ trì đã thực hiện lấy </w:t>
      </w:r>
      <w:r w:rsidR="001D2E15" w:rsidRPr="001D2E15">
        <w:rPr>
          <w:rFonts w:ascii="Times New Roman" w:eastAsia="Times New Roman" w:hAnsi="Times New Roman" w:cs="Times New Roman"/>
          <w:color w:val="000000"/>
          <w:sz w:val="28"/>
          <w:szCs w:val="28"/>
          <w:lang w:val="vi-VN"/>
        </w:rPr>
        <w:t>ý kiến của cơ quan kiểm soát thủ tục hành chính cùng cấp theo quy định của pháp luật về kiểm soát thủ tục hành chính và các cá nhân, tổ chức khác có liên quan về dự thảo Bản đánh giá t</w:t>
      </w:r>
      <w:r w:rsidR="00525C16">
        <w:rPr>
          <w:rFonts w:ascii="Times New Roman" w:eastAsia="Times New Roman" w:hAnsi="Times New Roman" w:cs="Times New Roman"/>
          <w:color w:val="000000"/>
          <w:sz w:val="28"/>
          <w:szCs w:val="28"/>
          <w:lang w:val="vi-VN"/>
        </w:rPr>
        <w:t xml:space="preserve">hủ tục hành chính của dự thảo. Việc lấy ý kiến được Cơ quan chủ trì soạnh thảo thực hiện bằng hình thức phát hành văn bản xin ý kiến và </w:t>
      </w:r>
      <w:r w:rsidR="00525C16">
        <w:rPr>
          <w:rFonts w:ascii="Times New Roman" w:eastAsia="Times New Roman" w:hAnsi="Times New Roman" w:cs="Times New Roman"/>
          <w:color w:val="000000"/>
          <w:sz w:val="28"/>
          <w:szCs w:val="28"/>
        </w:rPr>
        <w:t>trên t</w:t>
      </w:r>
      <w:r w:rsidRPr="00BD7BFC">
        <w:rPr>
          <w:rFonts w:ascii="Times New Roman" w:eastAsia="Times New Roman" w:hAnsi="Times New Roman" w:cs="Times New Roman"/>
          <w:color w:val="000000"/>
          <w:sz w:val="28"/>
          <w:szCs w:val="28"/>
        </w:rPr>
        <w:t>rang Websibte của Bộ Giao thông vận tải. Và đã thực hiện tiếp thu, giải trình các ý kiến góp ý, phản hồi của các Cơ quan, Bộ ngành, địa phương liên quan đến các TTHC có trong Dự thảo.</w:t>
      </w:r>
    </w:p>
    <w:p w:rsidR="00AB7043" w:rsidRPr="00BD7BFC" w:rsidRDefault="00AB7043" w:rsidP="00BD7BFC">
      <w:pPr>
        <w:spacing w:after="0" w:line="288" w:lineRule="auto"/>
        <w:jc w:val="both"/>
        <w:rPr>
          <w:rFonts w:ascii="Times New Roman" w:hAnsi="Times New Roman" w:cs="Times New Roman"/>
          <w:sz w:val="28"/>
          <w:szCs w:val="28"/>
        </w:rPr>
      </w:pPr>
    </w:p>
    <w:sectPr w:rsidR="00AB7043" w:rsidRPr="00BD7BFC" w:rsidSect="008B5F9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0C" w:rsidRDefault="00FF0C0C" w:rsidP="008B5F93">
      <w:pPr>
        <w:spacing w:after="0" w:line="240" w:lineRule="auto"/>
      </w:pPr>
      <w:r>
        <w:separator/>
      </w:r>
    </w:p>
  </w:endnote>
  <w:endnote w:type="continuationSeparator" w:id="0">
    <w:p w:rsidR="00FF0C0C" w:rsidRDefault="00FF0C0C" w:rsidP="008B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0C" w:rsidRDefault="00FF0C0C" w:rsidP="008B5F93">
      <w:pPr>
        <w:spacing w:after="0" w:line="240" w:lineRule="auto"/>
      </w:pPr>
      <w:r>
        <w:separator/>
      </w:r>
    </w:p>
  </w:footnote>
  <w:footnote w:type="continuationSeparator" w:id="0">
    <w:p w:rsidR="00FF0C0C" w:rsidRDefault="00FF0C0C" w:rsidP="008B5F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15"/>
    <w:rsid w:val="000A601C"/>
    <w:rsid w:val="000C198C"/>
    <w:rsid w:val="001D2E15"/>
    <w:rsid w:val="00207B55"/>
    <w:rsid w:val="002A0EF1"/>
    <w:rsid w:val="00364780"/>
    <w:rsid w:val="00390C57"/>
    <w:rsid w:val="004319A4"/>
    <w:rsid w:val="00435061"/>
    <w:rsid w:val="0043792E"/>
    <w:rsid w:val="00465805"/>
    <w:rsid w:val="00525C16"/>
    <w:rsid w:val="00564B79"/>
    <w:rsid w:val="005A22E8"/>
    <w:rsid w:val="0064268C"/>
    <w:rsid w:val="006A74F1"/>
    <w:rsid w:val="008B5F93"/>
    <w:rsid w:val="009D0E88"/>
    <w:rsid w:val="009F55F8"/>
    <w:rsid w:val="00A12031"/>
    <w:rsid w:val="00A36E36"/>
    <w:rsid w:val="00A83C44"/>
    <w:rsid w:val="00AB7043"/>
    <w:rsid w:val="00AC5A8C"/>
    <w:rsid w:val="00B603D6"/>
    <w:rsid w:val="00B83E8B"/>
    <w:rsid w:val="00BA5EC9"/>
    <w:rsid w:val="00BD7BFC"/>
    <w:rsid w:val="00DF2EB3"/>
    <w:rsid w:val="00E454C6"/>
    <w:rsid w:val="00FF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1A5C"/>
  <w15:chartTrackingRefBased/>
  <w15:docId w15:val="{8AAFA40F-3374-4CE2-8B11-0A5C2DA9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E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12031"/>
    <w:pPr>
      <w:widowControl w:val="0"/>
      <w:autoSpaceDE w:val="0"/>
      <w:autoSpaceDN w:val="0"/>
      <w:spacing w:after="0" w:line="240" w:lineRule="auto"/>
      <w:ind w:left="100"/>
    </w:pPr>
    <w:rPr>
      <w:rFonts w:ascii="Times New Roman" w:eastAsia="Times New Roman" w:hAnsi="Times New Roman" w:cs="Times New Roman"/>
    </w:rPr>
  </w:style>
  <w:style w:type="paragraph" w:styleId="ListParagraph">
    <w:name w:val="List Paragraph"/>
    <w:basedOn w:val="Normal"/>
    <w:uiPriority w:val="34"/>
    <w:qFormat/>
    <w:rsid w:val="00AC5A8C"/>
    <w:pPr>
      <w:ind w:left="720"/>
      <w:contextualSpacing/>
    </w:pPr>
  </w:style>
  <w:style w:type="paragraph" w:styleId="Header">
    <w:name w:val="header"/>
    <w:basedOn w:val="Normal"/>
    <w:link w:val="HeaderChar"/>
    <w:uiPriority w:val="99"/>
    <w:unhideWhenUsed/>
    <w:rsid w:val="008B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F93"/>
  </w:style>
  <w:style w:type="paragraph" w:styleId="Footer">
    <w:name w:val="footer"/>
    <w:basedOn w:val="Normal"/>
    <w:link w:val="FooterChar"/>
    <w:uiPriority w:val="99"/>
    <w:unhideWhenUsed/>
    <w:rsid w:val="008B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8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543A2-10C4-403A-9325-1AE308AF5C75}"/>
</file>

<file path=customXml/itemProps2.xml><?xml version="1.0" encoding="utf-8"?>
<ds:datastoreItem xmlns:ds="http://schemas.openxmlformats.org/officeDocument/2006/customXml" ds:itemID="{D9185EC1-91E1-4376-8641-27DD2EFEE084}"/>
</file>

<file path=customXml/itemProps3.xml><?xml version="1.0" encoding="utf-8"?>
<ds:datastoreItem xmlns:ds="http://schemas.openxmlformats.org/officeDocument/2006/customXml" ds:itemID="{A3326316-56CB-41DF-8325-8DB7DAE87F89}"/>
</file>

<file path=docProps/app.xml><?xml version="1.0" encoding="utf-8"?>
<Properties xmlns="http://schemas.openxmlformats.org/officeDocument/2006/extended-properties" xmlns:vt="http://schemas.openxmlformats.org/officeDocument/2006/docPropsVTypes">
  <Template>Normal.dotm</Template>
  <TotalTime>4</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 Quang Anh</cp:lastModifiedBy>
  <cp:revision>4</cp:revision>
  <dcterms:created xsi:type="dcterms:W3CDTF">2023-04-24T04:53:00Z</dcterms:created>
  <dcterms:modified xsi:type="dcterms:W3CDTF">2023-04-28T03:31:00Z</dcterms:modified>
</cp:coreProperties>
</file>